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7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E7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FB2FB6" w:rsidRDefault="002C77B8" w:rsidP="00E72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E72CBF">
        <w:rPr>
          <w:rFonts w:ascii="Times New Roman" w:hAnsi="Times New Roman" w:cs="Times New Roman"/>
          <w:sz w:val="24"/>
          <w:szCs w:val="24"/>
        </w:rPr>
        <w:t>Выполнение работ по тех</w:t>
      </w:r>
      <w:r w:rsidR="004D0071">
        <w:rPr>
          <w:rFonts w:ascii="Times New Roman" w:hAnsi="Times New Roman" w:cs="Times New Roman"/>
          <w:sz w:val="24"/>
          <w:szCs w:val="24"/>
        </w:rPr>
        <w:t>ническому обслуживанию систем энергоснабжения</w:t>
      </w:r>
      <w:r w:rsidR="00C6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B8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4152B8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C60378">
        <w:rPr>
          <w:rFonts w:ascii="Times New Roman" w:hAnsi="Times New Roman" w:cs="Times New Roman"/>
          <w:sz w:val="24"/>
          <w:szCs w:val="24"/>
        </w:rPr>
        <w:t>ФГБУ «АМП Каспийского моря»</w:t>
      </w:r>
      <w:r w:rsidR="00C60378" w:rsidRPr="00C60378">
        <w:rPr>
          <w:rFonts w:ascii="Times New Roman" w:hAnsi="Times New Roman" w:cs="Times New Roman"/>
          <w:sz w:val="24"/>
          <w:szCs w:val="24"/>
        </w:rPr>
        <w:t xml:space="preserve">, расположенных на </w:t>
      </w:r>
      <w:r w:rsidR="004152B8" w:rsidRPr="004152B8">
        <w:rPr>
          <w:rFonts w:ascii="Times New Roman" w:hAnsi="Times New Roman" w:cs="Times New Roman"/>
          <w:sz w:val="24"/>
          <w:szCs w:val="24"/>
        </w:rPr>
        <w:t>2 этаже социально-административного двухэтажного здания литер</w:t>
      </w:r>
      <w:proofErr w:type="gramStart"/>
      <w:r w:rsidR="004152B8" w:rsidRPr="004152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152B8" w:rsidRPr="004152B8">
        <w:rPr>
          <w:rFonts w:ascii="Times New Roman" w:hAnsi="Times New Roman" w:cs="Times New Roman"/>
          <w:sz w:val="24"/>
          <w:szCs w:val="24"/>
        </w:rPr>
        <w:t xml:space="preserve">, находящегося по адресу: Россия, 416425, Астраханская область, </w:t>
      </w:r>
      <w:proofErr w:type="spellStart"/>
      <w:r w:rsidR="004152B8" w:rsidRPr="004152B8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4152B8" w:rsidRPr="004152B8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  <w:r w:rsidR="007E425B">
        <w:rPr>
          <w:rFonts w:ascii="Times New Roman" w:hAnsi="Times New Roman" w:cs="Times New Roman"/>
          <w:sz w:val="24"/>
          <w:szCs w:val="24"/>
        </w:rPr>
        <w:t>.</w:t>
      </w:r>
    </w:p>
    <w:p w:rsidR="00FB2FB6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24" w:rsidRPr="00E9047D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4152B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Pr="00FC7BAE" w:rsidRDefault="00224BEA" w:rsidP="007E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выполнять работы по техническому обслуживанию систем энергоснабжения помещений </w:t>
            </w:r>
            <w:proofErr w:type="spellStart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Россия, 416425, Астраханская область, </w:t>
            </w:r>
            <w:proofErr w:type="spellStart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224BE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Default="004B74F8" w:rsidP="00B269CF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F8">
              <w:rPr>
                <w:rFonts w:ascii="Times New Roman" w:hAnsi="Times New Roman" w:cs="Times New Roman"/>
                <w:sz w:val="25"/>
                <w:szCs w:val="25"/>
              </w:rPr>
              <w:t>110 000 (Сто десять тысяч) рублей 00 копеек, НДС не облагается на основании пункта 3 статьи 346.11 Налогового кодекса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F8" w:rsidRDefault="004B74F8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6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B6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B61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4B74F8" w:rsidRPr="004B74F8">
        <w:rPr>
          <w:rFonts w:ascii="Times New Roman" w:hAnsi="Times New Roman" w:cs="Times New Roman"/>
          <w:sz w:val="24"/>
          <w:szCs w:val="24"/>
        </w:rPr>
        <w:t xml:space="preserve">Выполнение работ по техническому обслуживанию систем энергоснабжения </w:t>
      </w:r>
      <w:proofErr w:type="spellStart"/>
      <w:r w:rsidR="004B74F8" w:rsidRPr="004B74F8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4B74F8" w:rsidRPr="004B74F8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4B74F8" w:rsidRPr="004B74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B74F8" w:rsidRPr="004B74F8">
        <w:rPr>
          <w:rFonts w:ascii="Times New Roman" w:hAnsi="Times New Roman" w:cs="Times New Roman"/>
          <w:sz w:val="24"/>
          <w:szCs w:val="24"/>
        </w:rPr>
        <w:t xml:space="preserve">, находящегося по адресу: Россия, 416425, Астраханская область, </w:t>
      </w:r>
      <w:proofErr w:type="spellStart"/>
      <w:r w:rsidR="004B74F8" w:rsidRPr="004B74F8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4B74F8" w:rsidRPr="004B74F8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FC0111" w:rsidP="004B7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 xml:space="preserve">с 01.01.2023 г. по </w:t>
            </w:r>
            <w:r w:rsidR="004B74F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4B74F8" w:rsidP="0084061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F8">
              <w:rPr>
                <w:rFonts w:ascii="Times New Roman" w:hAnsi="Times New Roman" w:cs="Times New Roman"/>
                <w:sz w:val="24"/>
                <w:szCs w:val="24"/>
              </w:rPr>
              <w:t>110 000 (Сто десять тысяч) рублей 00 копеек, НДС не облагается на основании пункта 3 статьи 346.11 Налогового кодекса Российской Федерации.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Default="0037155E" w:rsidP="0037155E">
            <w:pPr>
              <w:pStyle w:val="14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37155E" w:rsidRPr="0037155E" w:rsidRDefault="0037155E" w:rsidP="0037155E">
            <w:pPr>
              <w:pStyle w:val="14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18" w:rsidRDefault="0084061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618" w:rsidRDefault="0084061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C166A0">
      <w:pPr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F93500" w:rsidRPr="00F93500" w:rsidRDefault="00F93500" w:rsidP="00F9350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Договор № ______________</w:t>
      </w:r>
    </w:p>
    <w:p w:rsidR="00F93500" w:rsidRPr="00F93500" w:rsidRDefault="00F93500" w:rsidP="00F9350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jc w:val="center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pacing w:val="15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г. Астрахань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Pr="00F93500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 xml:space="preserve">«_____»   ______________  </w:t>
      </w:r>
      <w:r w:rsidRPr="00F93500">
        <w:rPr>
          <w:rFonts w:ascii="Times New Roman" w:eastAsia="Times New Roman" w:hAnsi="Times New Roman" w:cs="Times New Roman"/>
          <w:spacing w:val="15"/>
          <w:sz w:val="25"/>
          <w:szCs w:val="25"/>
          <w:lang w:eastAsia="ru-RU"/>
        </w:rPr>
        <w:t>20__ г.</w:t>
      </w:r>
    </w:p>
    <w:p w:rsidR="00F93500" w:rsidRPr="00F93500" w:rsidRDefault="00F93500" w:rsidP="00F9350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(сокращенное наименование - ФГБУ «АМП Каспийского моря»), именуемое в дальнейшем Заказчик, в лице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руководителя ФГБУ «АМП Каспийского моря»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Сарсеналиева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Тимура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Алимжановича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 и приказа №384ЛС от 19.12.2022 г., с одной стороны, и </w:t>
      </w: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Индивидуальный предприниматель Смолянинов Алексей Алексеевич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(сокращенное наименование – ИП Смолянинов А.А.), действующий на основании Свидетельства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ОГРНИП 318302500009620 от 20.03.2018г., именуемый в дальнейшем Исполнитель, с другой стороны, совместно именуемые Стороны, на основании Обоснования цены договора № 1551 от 01.12.2022 г. заключили настоящий договор о нижеследующем: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spacing w:val="7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pacing w:val="7"/>
          <w:sz w:val="25"/>
          <w:szCs w:val="25"/>
          <w:lang w:eastAsia="ru-RU"/>
        </w:rPr>
        <w:t xml:space="preserve">1. </w:t>
      </w:r>
      <w:r w:rsidRPr="00F93500">
        <w:rPr>
          <w:rFonts w:ascii="Times New Roman" w:eastAsia="Times New Roman" w:hAnsi="Times New Roman" w:cs="Times New Roman"/>
          <w:b/>
          <w:iCs/>
          <w:spacing w:val="7"/>
          <w:sz w:val="25"/>
          <w:szCs w:val="25"/>
          <w:lang w:eastAsia="ru-RU"/>
        </w:rPr>
        <w:t>Предмет договора</w:t>
      </w:r>
    </w:p>
    <w:p w:rsidR="00F93500" w:rsidRPr="00F93500" w:rsidRDefault="00F93500" w:rsidP="00F9350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Исполнитель обязуется выполнять работы по техническому обслуживанию систем энергоснабжения помещений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(далее – техническое обслуживание систем энергоснабжения), в соответствии с Техническим заданием на выполнение работ по техническому обслуживанию систем энергоснабжения помещений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(Приложение № 1 к настоящему договору), а Заказчик обязуется принять и оплатить работы.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Цена договора и порядок расчетов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2.1. 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Цена договора составляет 110 000 (Сто десять тысяч) рублей 00 копеек, НДС не облагается </w:t>
      </w:r>
      <w:r w:rsidRPr="00F93500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на основании пункта 3 статьи 346.11 Налогового кодекса Российской Федерации (Уведомление о переходе на УСН от 26.10.2020 г.),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ежемесячной стоимости технического обслуживания систем энергоснабжения в период с 01.01.2023 г. по 30.11.2023 г – 10 000 (Десять тысяч) рублей 00 копеек, НДС не облагается.</w:t>
      </w:r>
      <w:proofErr w:type="gramEnd"/>
    </w:p>
    <w:p w:rsidR="00F93500" w:rsidRPr="00F93500" w:rsidRDefault="00F93500" w:rsidP="00F9350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F93500" w:rsidRPr="00F93500" w:rsidRDefault="00F93500" w:rsidP="00F9350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Затраты на инструмент, инвентарь, расходные материалы (изоляционная лента, флюс, припой, трубка ПВХ,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термоусадочная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трубка,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клеммные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колодки, кабельные наконечники (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диам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 5 мм), необходимые для выполнения работ, осуществляются за счет Исполнителя и включены в цену договора.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Расходные материалы, превышающие стоимость обслуживания приобретаются за счет Заказчика. </w:t>
      </w:r>
    </w:p>
    <w:p w:rsidR="00F93500" w:rsidRPr="00F93500" w:rsidRDefault="00F93500" w:rsidP="00F9350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2.4. Цена договора является твердой и не может изменяться в ходе его исполнения.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в сроки, указанные в п. 4.3.15.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12 настоящего договора, ежемесячно за выполненные Исполнителем и принятые Заказчиком работы в течение 7 (Семи) рабочих дней после подписания Сторонами акта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выполненных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 л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ицевого счета Заказчика.</w:t>
      </w:r>
    </w:p>
    <w:p w:rsidR="00F93500" w:rsidRPr="00F93500" w:rsidRDefault="00F93500" w:rsidP="00F9350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F93500" w:rsidRPr="00F93500" w:rsidRDefault="00F93500" w:rsidP="00F9350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выполнения работ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Срок выполнения работ по настоящему договору с 01 января 2023 года по 30 ноября 2023 года.</w:t>
      </w:r>
    </w:p>
    <w:p w:rsidR="00F93500" w:rsidRPr="00F93500" w:rsidRDefault="00F93500" w:rsidP="00F9350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Права и обязанности Сторон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4.1.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обязан: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4.2. Заказчик имеет право: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4.2.1. Получать от Исполнителя информацию о ходе выполнения работ.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4.3.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Исполнитель обязан: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4.3.1. Проводить согласно утверждённому графику планово-предупредительные работы (контроль работоспособности и исправности оборудования, смена и ремонт выключателей, розеток, мелкий ремонт электропроводки), осмотры (обследования) объектов, подготовку объектов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 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4.3.2. Предотвращать возникновение крупных аварий и принимать меры по их ликвидации.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4.3.3. Проводить устранение неисправностей по заявкам Заказчика.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4.3.4. Проводить работы по ремонту электрооборудования служебных и вспомогательных помещений </w:t>
      </w:r>
      <w:r w:rsidRPr="00F93500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(лестничных</w:t>
      </w:r>
      <w:r w:rsidRPr="00F93500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клеток, вестибюлей, коридоров).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4.3.5.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4.3.6. Проводить работы по ремонту распределительных щитов и вводно-распределительных устройств, электрооборудования из материалов Заказчика.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4.3.7. Проводить работы по ремонту и замене светильников, замене ламп, вышедших из строя.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4.3.8. Проводить замену автоматов, пакетных переключателей, устройств защитного отключения (УЗО), выключателей, частичную замену электропроводки из материалов Заказчика.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4.3.9. 1 (Один) раз в месяц проверять состояние оборудования систем электроснабжения, кабельных линий.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4.3.10. 1 (Один) раз в месяц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4.3.11. 1 (Один) раз в месяц проводить очистку от пыли и протяжку присоединений в силовых щитах и щитках освещения.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4.3.12. Обеспечивать качественное выполнение работ.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4.3.13. Письменно уведомлять Заказчика об обстоятельствах, препятствующих качественному выполнению работ.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4.3.14. Выполнять в полном объеме все свои обязательства, предусмотренные настоящим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договором.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4.3.15. Предоставлять Заказчику акт выполненных работ и счет за фактически выполненные работы по техническому обслуживанию систем энергоснабжения за период с 01.01.2023 г. по 30.11.2023 г. - в последний день отчетного периода (отчетным периодом является календарный месяц). 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4.3.16. Исполнитель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4.4. Исполнитель имеет право: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При выполнении работ по настоящему договору Исполнитель обязан: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5.1.1. Соблюдать требования охраны труда, пожарной безопасности, электробезопасности.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5.1.2. Обеспечить безопасное выполнение работ.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5.1.14. Все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электропусковые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Исполнитель несет полную ответственность за невыполнение настоящего раздела.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Ответственность Сторон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Обстоятельства непреодолимой силы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7.1. Стороны освобождаются от ответственности за неисполнение либо ненадлежащее исполнение обязатель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 в сл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предоставив документы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7.2. В случае прекращения указанных обстоятель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 Ст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Контракту.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Неизвещение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93500" w:rsidRPr="00F93500" w:rsidRDefault="00F93500" w:rsidP="00F9350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разрешения споров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8.1. Споры и разногласия, которые могут возникнуть между Сторонами в ходе исполнения настоящего договора, будут разрешаться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12 настоящего договора.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8.2.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действия договора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9.1. Настоящий договор вступает в силу с 01 января 2023 года и действует                                                  по 30 ноября 2023 года, а в части взаимных расчетов - до их полного завершения.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9.2.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Антикоррупционная оговорка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10.1.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Заключительные положения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11.2. В случае изменения у одной из Сторон местонахождения, названия, банковских реквизитов и прочих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F93500" w:rsidRPr="00F93500" w:rsidRDefault="00F93500" w:rsidP="00F935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11.6. Неотъемлемой частью настоящего договора является следующее Приложение: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Приложение № 1 «Техническое задание на выполнение работ по техническому обслуживанию систем энергоснабжения помещений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29».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12. Юридические адреса и банковские реквизиты Сторон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93500" w:rsidRPr="00F93500" w:rsidTr="00792661">
        <w:trPr>
          <w:trHeight w:val="218"/>
        </w:trPr>
        <w:tc>
          <w:tcPr>
            <w:tcW w:w="5211" w:type="dxa"/>
            <w:hideMark/>
          </w:tcPr>
          <w:p w:rsidR="00F93500" w:rsidRPr="00F93500" w:rsidRDefault="00F93500" w:rsidP="00F9350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Исполнитель</w:t>
            </w:r>
          </w:p>
        </w:tc>
        <w:tc>
          <w:tcPr>
            <w:tcW w:w="5245" w:type="dxa"/>
            <w:hideMark/>
          </w:tcPr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Заказчик</w:t>
            </w:r>
          </w:p>
        </w:tc>
      </w:tr>
      <w:tr w:rsidR="00F93500" w:rsidRPr="00F93500" w:rsidTr="00792661">
        <w:trPr>
          <w:trHeight w:val="375"/>
        </w:trPr>
        <w:tc>
          <w:tcPr>
            <w:tcW w:w="5211" w:type="dxa"/>
          </w:tcPr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ИП Смолянинов А.А.</w:t>
            </w:r>
          </w:p>
        </w:tc>
        <w:tc>
          <w:tcPr>
            <w:tcW w:w="5245" w:type="dxa"/>
            <w:hideMark/>
          </w:tcPr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ФГБУ «АМП Каспийского моря»</w:t>
            </w:r>
          </w:p>
        </w:tc>
      </w:tr>
      <w:tr w:rsidR="00F93500" w:rsidRPr="00F93500" w:rsidTr="00792661">
        <w:trPr>
          <w:trHeight w:val="489"/>
        </w:trPr>
        <w:tc>
          <w:tcPr>
            <w:tcW w:w="5211" w:type="dxa"/>
          </w:tcPr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</w:t>
            </w:r>
            <w:proofErr w:type="gram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дрес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625034, Тюменская область, г. Тюмень, ул. Стартовая, д. 1, кв.69.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Почтовый адрес: 414000, г. Астрахань, 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Ахматовская/Кирова, 9/13, пом.50.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30502001992  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 318302500009620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40802810905000022986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АСТРАХАНСКОМ ОТДЕЛЕНИИ 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8625 ПАО СБЕРБАНК </w:t>
            </w:r>
            <w:proofErr w:type="gram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Астрахань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30101810500000000602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041203602   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0127751262</w:t>
            </w:r>
          </w:p>
          <w:p w:rsidR="00F93500" w:rsidRPr="00F93500" w:rsidRDefault="00F93500" w:rsidP="00F9350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Тел./факс: 8 (967) 830-72-90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512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as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Россия, 414016, г. Астрахань, 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ул. Капитана Краснова, 31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3018010485  КПП 301801001 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ОКПО 36712354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ОГРН 1023000826177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л</w:t>
            </w:r>
            <w:proofErr w:type="gramEnd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/с 20256Ц76300 в  УФК по Астраханской области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к/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03214643000000012500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в ОТДЕЛЕНИИ АСТРАХАНЬ БАНКА РОССИИ//УФК по Астраханской области г. Астрахань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БИК 011203901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ЕКС 40102810445370000017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Телефон: +7 (8512) 58-45-69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Факс: +7 (8512) 58-45-66, 58-55-02 </w:t>
            </w:r>
          </w:p>
          <w:p w:rsidR="00F93500" w:rsidRPr="00F93500" w:rsidRDefault="00F93500" w:rsidP="00F9350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: </w:t>
            </w: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@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ampastra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F93500" w:rsidRPr="00F93500" w:rsidTr="00792661">
        <w:trPr>
          <w:trHeight w:val="1446"/>
        </w:trPr>
        <w:tc>
          <w:tcPr>
            <w:tcW w:w="5211" w:type="dxa"/>
          </w:tcPr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Индивидуальный предприниматель </w:t>
            </w: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Смолянинов Алексей Алексеевич</w:t>
            </w: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Смолянинов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  <w:tc>
          <w:tcPr>
            <w:tcW w:w="5245" w:type="dxa"/>
          </w:tcPr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proofErr w:type="spellStart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И.о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. руководителя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ФГБУ «АМП Каспийского моря»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___________________</w:t>
            </w: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Т.А. 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Сарсеналиев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  <w:t xml:space="preserve"> 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Приложение № 1 к  договору 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__________</w:t>
      </w:r>
      <w:r w:rsidRPr="00F93500">
        <w:rPr>
          <w:rFonts w:ascii="Times New Roman" w:eastAsia="Times New Roman" w:hAnsi="Times New Roman" w:cs="Times New Roman"/>
          <w:bCs/>
          <w:spacing w:val="20"/>
          <w:sz w:val="25"/>
          <w:szCs w:val="25"/>
          <w:lang w:eastAsia="ru-RU"/>
        </w:rPr>
        <w:t xml:space="preserve"> от «</w:t>
      </w:r>
      <w:r w:rsidRPr="00F935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_____»_____________ 20__ г.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задание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выполнение работ по техническому обслуживанию систем энергоснабжения помещений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10275" w:type="dxa"/>
        <w:tblLayout w:type="fixed"/>
        <w:tblLook w:val="04A0" w:firstRow="1" w:lastRow="0" w:firstColumn="1" w:lastColumn="0" w:noHBand="0" w:noVBand="1"/>
      </w:tblPr>
      <w:tblGrid>
        <w:gridCol w:w="2834"/>
        <w:gridCol w:w="1949"/>
        <w:gridCol w:w="567"/>
        <w:gridCol w:w="3967"/>
        <w:gridCol w:w="958"/>
      </w:tblGrid>
      <w:tr w:rsidR="00F93500" w:rsidRPr="00F93500" w:rsidTr="007926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b/>
                <w:sz w:val="25"/>
                <w:szCs w:val="25"/>
              </w:rPr>
              <w:t>Система энергоснабжения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b/>
                <w:sz w:val="25"/>
                <w:szCs w:val="25"/>
              </w:rPr>
              <w:t>Характеристика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оборудования 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1. Система энергоснабжения нежилых помещений, расположенных на втором этаже социально-административного здания, Литер</w:t>
            </w:r>
            <w:proofErr w:type="gramStart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 Астраханская область, </w:t>
            </w:r>
            <w:proofErr w:type="spellStart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Оля</w:t>
            </w:r>
            <w:proofErr w:type="gramEnd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, ул. Чкалова, д. 29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Блок управления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Вводно-распределительное устройство ВРУ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proofErr w:type="gramStart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gramEnd"/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Шкаф стабилизатора ЩПМ-3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Щит бытовых нагрузок  ЩРН-24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Щит кондиционирования ЩРН-24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Щит гарантийного питания ЩРН-24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 xml:space="preserve">Щит силовой пищеблока ЩРН-24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Стабилизатор 6кВт 3п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3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Светодиодный светильник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53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Выключатель (двухклавишный, одноклавишный)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27 шт.</w:t>
            </w:r>
          </w:p>
        </w:tc>
      </w:tr>
      <w:tr w:rsidR="00F93500" w:rsidRPr="00F93500" w:rsidTr="00792661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Розетка (одноместная, двухместная, четырёхместная)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hAnsi="Times New Roman" w:cs="Times New Roman"/>
                <w:sz w:val="25"/>
                <w:szCs w:val="25"/>
              </w:rPr>
              <w:t>88 шт.</w:t>
            </w:r>
          </w:p>
        </w:tc>
      </w:tr>
      <w:tr w:rsidR="00F93500" w:rsidRPr="00F93500" w:rsidTr="00792661">
        <w:trPr>
          <w:trHeight w:val="2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3500" w:rsidRPr="00F93500" w:rsidTr="00792661">
        <w:trPr>
          <w:trHeight w:val="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00" w:rsidRPr="00F93500" w:rsidRDefault="00F93500" w:rsidP="00F9350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F93500" w:rsidRPr="00F93500" w:rsidRDefault="00F93500" w:rsidP="00F93500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Нормативные требования</w:t>
      </w: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Pr="00F93500">
        <w:rPr>
          <w:rFonts w:ascii="Times New Roman" w:eastAsia="Times New Roman" w:hAnsi="Times New Roman" w:cs="Times New Roman"/>
          <w:bCs/>
          <w:iCs/>
          <w:spacing w:val="3"/>
          <w:sz w:val="25"/>
          <w:szCs w:val="25"/>
          <w:lang w:eastAsia="ru-RU"/>
        </w:rPr>
        <w:t xml:space="preserve">выполнении работ по техническому обслуживанию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 энергоснабжения Исполнитель должен соблюдать нормативно-технические требования действующих Правил, Стандартов, в том числе:</w:t>
      </w:r>
    </w:p>
    <w:p w:rsidR="00F93500" w:rsidRPr="00F93500" w:rsidRDefault="00F93500" w:rsidP="00F9350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ПУЭ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устройства электроустановок </w:t>
      </w:r>
      <w:r w:rsidRPr="00F93500">
        <w:rPr>
          <w:rFonts w:ascii="Times New Roman" w:hAnsi="Times New Roman" w:cs="Times New Roman"/>
          <w:i/>
          <w:sz w:val="25"/>
          <w:szCs w:val="25"/>
        </w:rPr>
        <w:t>(Утверждены Приказом Минэнерго России от 08.07.2002г. № 204)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93500" w:rsidRPr="00F93500" w:rsidRDefault="00F93500" w:rsidP="00F9350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ПТЭЭП </w:t>
      </w: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технической эксплуатации электроустановок потребителей </w:t>
      </w:r>
      <w:r w:rsidRPr="00F93500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(Утверждены Приказом </w:t>
      </w:r>
      <w:r w:rsidRPr="00F93500">
        <w:rPr>
          <w:rFonts w:ascii="Times New Roman" w:hAnsi="Times New Roman" w:cs="Times New Roman"/>
          <w:i/>
          <w:sz w:val="25"/>
          <w:szCs w:val="25"/>
        </w:rPr>
        <w:t xml:space="preserve">Минэнерго России </w:t>
      </w:r>
      <w:r w:rsidRPr="00F93500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от 13.01.2003 № 6.)</w:t>
      </w:r>
    </w:p>
    <w:p w:rsidR="00F93500" w:rsidRPr="00F93500" w:rsidRDefault="00F93500" w:rsidP="00F93500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организации выполнения работ</w:t>
      </w:r>
    </w:p>
    <w:p w:rsidR="00F93500" w:rsidRPr="00F93500" w:rsidRDefault="00F93500" w:rsidP="00F93500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F93500" w:rsidRPr="00F93500" w:rsidRDefault="00F93500" w:rsidP="00F9350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 Специалисты, обслуживающие системы энергоснабжения должны  быть:</w:t>
      </w:r>
    </w:p>
    <w:p w:rsidR="00F93500" w:rsidRPr="00F93500" w:rsidRDefault="00F93500" w:rsidP="00F9350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экипированы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спецодеждой, СИЗ </w:t>
      </w:r>
    </w:p>
    <w:p w:rsidR="00F93500" w:rsidRPr="00F93500" w:rsidRDefault="00F93500" w:rsidP="00F9350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оснащены</w:t>
      </w:r>
      <w:proofErr w:type="gramEnd"/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F93500" w:rsidRPr="00F93500" w:rsidRDefault="00F93500" w:rsidP="00F9350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3.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F93500" w:rsidRPr="00F93500" w:rsidRDefault="00F93500" w:rsidP="00F9350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4.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F93500" w:rsidRPr="00F93500" w:rsidRDefault="00F93500" w:rsidP="00F9350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периодам выполнения работ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обязан  1 (Один) раз в месяц проверять работу систем энергоснабжения.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Проводить работы, необходимость в которых вызвана аварийной ситуацией в течение 8 (Восьми) часов, по заявке Заказчика.</w:t>
      </w:r>
    </w:p>
    <w:p w:rsidR="00F93500" w:rsidRPr="00F93500" w:rsidRDefault="00F93500" w:rsidP="00F9350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Требования к безопасности выполняемых работ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техники безопасности.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пожарной безопасности.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экологической безопасности.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гарантийным обязательствам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3500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F93500" w:rsidRPr="00F93500" w:rsidRDefault="00F93500" w:rsidP="00F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1"/>
        <w:gridCol w:w="4833"/>
      </w:tblGrid>
      <w:tr w:rsidR="00F93500" w:rsidRPr="00F93500" w:rsidTr="00792661">
        <w:trPr>
          <w:jc w:val="center"/>
        </w:trPr>
        <w:tc>
          <w:tcPr>
            <w:tcW w:w="4471" w:type="dxa"/>
          </w:tcPr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Индивидуальный предприниматель </w:t>
            </w: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Смолянинов Алексей Алексеевич</w:t>
            </w: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F9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Смолянинов</w:t>
            </w:r>
          </w:p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833" w:type="dxa"/>
          </w:tcPr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Заказчик: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proofErr w:type="spellStart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И.о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. руководителя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ФГБУ «АМП Каспийского моря»</w:t>
            </w: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F93500" w:rsidRPr="00F93500" w:rsidRDefault="00F93500" w:rsidP="00F9350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__________________</w:t>
            </w:r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Т.А. </w:t>
            </w:r>
            <w:proofErr w:type="spellStart"/>
            <w:r w:rsidRPr="00F935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Сарсеналиев</w:t>
            </w:r>
            <w:proofErr w:type="spellEnd"/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  <w:t xml:space="preserve"> </w:t>
            </w:r>
          </w:p>
          <w:p w:rsidR="00F93500" w:rsidRPr="00F93500" w:rsidRDefault="00F93500" w:rsidP="00F9350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left="35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9350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3500" w:rsidRPr="00F93500" w:rsidRDefault="00F93500" w:rsidP="00F9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6A0" w:rsidRPr="00C166A0" w:rsidRDefault="00C166A0" w:rsidP="00F9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180E31" w:rsidRDefault="00180E31" w:rsidP="00180E31">
      <w:pPr>
        <w:rPr>
          <w:rFonts w:ascii="Times New Roman" w:hAnsi="Times New Roman" w:cs="Times New Roman"/>
          <w:sz w:val="24"/>
          <w:szCs w:val="24"/>
        </w:rPr>
      </w:pPr>
    </w:p>
    <w:p w:rsidR="00112D71" w:rsidRPr="00112D71" w:rsidRDefault="00112D71" w:rsidP="00E96E4D">
      <w:pPr>
        <w:rPr>
          <w:rFonts w:ascii="Times New Roman" w:hAnsi="Times New Roman" w:cs="Times New Roman"/>
          <w:sz w:val="24"/>
          <w:szCs w:val="24"/>
        </w:rPr>
      </w:pP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112D71" w:rsidRPr="00112D71" w:rsidSect="0089454B">
      <w:headerReference w:type="default" r:id="rId10"/>
      <w:footerReference w:type="even" r:id="rId11"/>
      <w:footerReference w:type="default" r:id="rId12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C2" w:rsidRDefault="00F61DC2">
      <w:pPr>
        <w:spacing w:after="0" w:line="240" w:lineRule="auto"/>
      </w:pPr>
      <w:r>
        <w:separator/>
      </w:r>
    </w:p>
  </w:endnote>
  <w:endnote w:type="continuationSeparator" w:id="0">
    <w:p w:rsidR="00F61DC2" w:rsidRDefault="00F6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B8" w:rsidRDefault="004152B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2B8" w:rsidRDefault="004152B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B8" w:rsidRDefault="004152B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C2" w:rsidRDefault="00F61DC2">
      <w:pPr>
        <w:spacing w:after="0" w:line="240" w:lineRule="auto"/>
      </w:pPr>
      <w:r>
        <w:separator/>
      </w:r>
    </w:p>
  </w:footnote>
  <w:footnote w:type="continuationSeparator" w:id="0">
    <w:p w:rsidR="00F61DC2" w:rsidRDefault="00F6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B8" w:rsidRDefault="004152B8">
    <w:pPr>
      <w:pStyle w:val="a9"/>
    </w:pPr>
  </w:p>
  <w:p w:rsidR="004152B8" w:rsidRDefault="004152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D76AA1"/>
    <w:multiLevelType w:val="hybridMultilevel"/>
    <w:tmpl w:val="ED7AE8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0E01B6"/>
    <w:multiLevelType w:val="hybridMultilevel"/>
    <w:tmpl w:val="B3265250"/>
    <w:lvl w:ilvl="0" w:tplc="FBEA0D7C">
      <w:start w:val="6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D4A44"/>
    <w:multiLevelType w:val="hybridMultilevel"/>
    <w:tmpl w:val="662063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3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5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1"/>
  </w:num>
  <w:num w:numId="4">
    <w:abstractNumId w:val="15"/>
  </w:num>
  <w:num w:numId="5">
    <w:abstractNumId w:val="27"/>
  </w:num>
  <w:num w:numId="6">
    <w:abstractNumId w:val="14"/>
  </w:num>
  <w:num w:numId="7">
    <w:abstractNumId w:val="34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8"/>
  </w:num>
  <w:num w:numId="14">
    <w:abstractNumId w:val="22"/>
  </w:num>
  <w:num w:numId="15">
    <w:abstractNumId w:val="36"/>
  </w:num>
  <w:num w:numId="16">
    <w:abstractNumId w:val="4"/>
  </w:num>
  <w:num w:numId="17">
    <w:abstractNumId w:val="33"/>
  </w:num>
  <w:num w:numId="18">
    <w:abstractNumId w:val="32"/>
  </w:num>
  <w:num w:numId="19">
    <w:abstractNumId w:val="29"/>
  </w:num>
  <w:num w:numId="20">
    <w:abstractNumId w:val="2"/>
  </w:num>
  <w:num w:numId="21">
    <w:abstractNumId w:val="35"/>
  </w:num>
  <w:num w:numId="22">
    <w:abstractNumId w:val="24"/>
  </w:num>
  <w:num w:numId="23">
    <w:abstractNumId w:val="2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12"/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5"/>
  </w:num>
  <w:num w:numId="33">
    <w:abstractNumId w:val="17"/>
  </w:num>
  <w:num w:numId="34">
    <w:abstractNumId w:val="9"/>
  </w:num>
  <w:num w:numId="35">
    <w:abstractNumId w:val="5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3F6E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0E31"/>
    <w:rsid w:val="0018268F"/>
    <w:rsid w:val="001917B0"/>
    <w:rsid w:val="00193C53"/>
    <w:rsid w:val="001966E2"/>
    <w:rsid w:val="00196AB0"/>
    <w:rsid w:val="001B020C"/>
    <w:rsid w:val="001B0337"/>
    <w:rsid w:val="001B0424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24BEA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155E"/>
    <w:rsid w:val="00372205"/>
    <w:rsid w:val="00387888"/>
    <w:rsid w:val="003907A3"/>
    <w:rsid w:val="00397BD7"/>
    <w:rsid w:val="003A0052"/>
    <w:rsid w:val="003A5F23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2B8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4F8"/>
    <w:rsid w:val="004B7884"/>
    <w:rsid w:val="004C4FD8"/>
    <w:rsid w:val="004C71B1"/>
    <w:rsid w:val="004D007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3211"/>
    <w:rsid w:val="005B4C2B"/>
    <w:rsid w:val="005B4EE5"/>
    <w:rsid w:val="005B5AAA"/>
    <w:rsid w:val="005B5E5D"/>
    <w:rsid w:val="005B603C"/>
    <w:rsid w:val="005B6EBC"/>
    <w:rsid w:val="005B7360"/>
    <w:rsid w:val="005D6A07"/>
    <w:rsid w:val="005E0770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37AC3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425B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366C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658B"/>
    <w:rsid w:val="00857FA9"/>
    <w:rsid w:val="00870FF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565B"/>
    <w:rsid w:val="009E70CB"/>
    <w:rsid w:val="009E720F"/>
    <w:rsid w:val="009F7587"/>
    <w:rsid w:val="00A02020"/>
    <w:rsid w:val="00A02F8C"/>
    <w:rsid w:val="00A0605A"/>
    <w:rsid w:val="00A16FDE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13532"/>
    <w:rsid w:val="00B2348E"/>
    <w:rsid w:val="00B269CF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614F6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27B0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6A0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0378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1BD5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2CBF"/>
    <w:rsid w:val="00E740B6"/>
    <w:rsid w:val="00E761A4"/>
    <w:rsid w:val="00E80616"/>
    <w:rsid w:val="00E83F3A"/>
    <w:rsid w:val="00E9047D"/>
    <w:rsid w:val="00E939FD"/>
    <w:rsid w:val="00E96E4D"/>
    <w:rsid w:val="00E97056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D3253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61DC2"/>
    <w:rsid w:val="00F73411"/>
    <w:rsid w:val="00F8092E"/>
    <w:rsid w:val="00F82A2D"/>
    <w:rsid w:val="00F83829"/>
    <w:rsid w:val="00F863EF"/>
    <w:rsid w:val="00F87642"/>
    <w:rsid w:val="00F9294B"/>
    <w:rsid w:val="00F93500"/>
    <w:rsid w:val="00FA0030"/>
    <w:rsid w:val="00FA257C"/>
    <w:rsid w:val="00FA297E"/>
    <w:rsid w:val="00FA3C22"/>
    <w:rsid w:val="00FA442C"/>
    <w:rsid w:val="00FA56B9"/>
    <w:rsid w:val="00FB1FA8"/>
    <w:rsid w:val="00FB2FB6"/>
    <w:rsid w:val="00FC0111"/>
    <w:rsid w:val="00FC7BAE"/>
    <w:rsid w:val="00FD019E"/>
    <w:rsid w:val="00FD0E1E"/>
    <w:rsid w:val="00FD150D"/>
    <w:rsid w:val="00FD18A2"/>
    <w:rsid w:val="00FD4DC6"/>
    <w:rsid w:val="00FD74E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3D18A3-8C35-423E-9A46-661876D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9</cp:revision>
  <cp:lastPrinted>2022-12-20T10:30:00Z</cp:lastPrinted>
  <dcterms:created xsi:type="dcterms:W3CDTF">2022-03-15T10:53:00Z</dcterms:created>
  <dcterms:modified xsi:type="dcterms:W3CDTF">2022-12-20T13:37:00Z</dcterms:modified>
</cp:coreProperties>
</file>