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A3" w:rsidRPr="002C77B8" w:rsidRDefault="002C77B8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904E2B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="00904E2B">
        <w:rPr>
          <w:rFonts w:ascii="Times New Roman" w:hAnsi="Times New Roman" w:cs="Times New Roman"/>
          <w:sz w:val="24"/>
          <w:szCs w:val="24"/>
        </w:rPr>
        <w:t>предрейсовому</w:t>
      </w:r>
      <w:proofErr w:type="spellEnd"/>
      <w:r w:rsidR="00904E2B">
        <w:rPr>
          <w:rFonts w:ascii="Times New Roman" w:hAnsi="Times New Roman" w:cs="Times New Roman"/>
          <w:sz w:val="24"/>
          <w:szCs w:val="24"/>
        </w:rPr>
        <w:t xml:space="preserve"> контролю технического состояния транспортных средств Махачкалинского филиала ФГБУ «АМП Каспийского моря»</w:t>
      </w:r>
      <w:r w:rsidR="00F76B29">
        <w:rPr>
          <w:rFonts w:ascii="Times New Roman" w:hAnsi="Times New Roman" w:cs="Times New Roman"/>
          <w:sz w:val="24"/>
          <w:szCs w:val="24"/>
        </w:rPr>
        <w:t>»</w:t>
      </w: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9B3018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Pr="00FC7BAE" w:rsidRDefault="000D293B" w:rsidP="000D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проводить </w:t>
            </w:r>
            <w:proofErr w:type="spellStart"/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0D293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технического состояния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Заказчика,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 xml:space="preserve"> а Заказчик обязуется принимать и оплачивать выполненные работы в соответствии с настоящим договором.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FC7BAE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840618" w:rsidRDefault="000D293B" w:rsidP="00395054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3B">
              <w:rPr>
                <w:rFonts w:ascii="Times New Roman" w:hAnsi="Times New Roman" w:cs="Times New Roman"/>
                <w:sz w:val="25"/>
                <w:szCs w:val="25"/>
              </w:rPr>
              <w:t>134 640 (Сто тридцать четыре тысячи шестьсот сорок) рублей 00 копеек, НДС не облагается на основании пункта 2 статьи 346.11 Налогового кодекса РФ</w:t>
            </w:r>
          </w:p>
        </w:tc>
      </w:tr>
      <w:tr w:rsidR="00420258" w:rsidTr="001D502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предложений участников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054" w:rsidRDefault="00395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054" w:rsidRDefault="00395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054" w:rsidRDefault="00395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054" w:rsidRDefault="00395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054" w:rsidRDefault="00395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FC" w:rsidRDefault="009708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941" w:rsidRDefault="00D419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941" w:rsidRDefault="00D419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941" w:rsidRDefault="00D419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941" w:rsidRDefault="00D419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AE" w:rsidRDefault="00FC7BAE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3B" w:rsidRDefault="000D293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25" w:rsidRDefault="001D502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25" w:rsidRDefault="001D502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FC7BAE" w:rsidRPr="002C77B8" w:rsidRDefault="00FC7BAE" w:rsidP="00FC7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850440" w:rsidRPr="00850440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="00850440" w:rsidRPr="00850440">
        <w:rPr>
          <w:rFonts w:ascii="Times New Roman" w:hAnsi="Times New Roman" w:cs="Times New Roman"/>
          <w:sz w:val="24"/>
          <w:szCs w:val="24"/>
        </w:rPr>
        <w:t>предрейсовому</w:t>
      </w:r>
      <w:proofErr w:type="spellEnd"/>
      <w:r w:rsidR="00850440" w:rsidRPr="00850440">
        <w:rPr>
          <w:rFonts w:ascii="Times New Roman" w:hAnsi="Times New Roman" w:cs="Times New Roman"/>
          <w:sz w:val="24"/>
          <w:szCs w:val="24"/>
        </w:rPr>
        <w:t xml:space="preserve"> контролю технического состояния транспортных средств Махачкалинского филиала ФГБУ «АМП Каспийского моря»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1D5025" w:rsidTr="00ED2756">
        <w:tc>
          <w:tcPr>
            <w:tcW w:w="10421" w:type="dxa"/>
            <w:shd w:val="clear" w:color="auto" w:fill="auto"/>
          </w:tcPr>
          <w:p w:rsidR="001D5025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7A129A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ED2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Pr="0008787F" w:rsidRDefault="005667BC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BC">
              <w:rPr>
                <w:rFonts w:ascii="Times New Roman" w:hAnsi="Times New Roman" w:cs="Times New Roman"/>
                <w:sz w:val="24"/>
                <w:szCs w:val="24"/>
              </w:rPr>
              <w:t xml:space="preserve">с 01.01.2023 г. по 31.12.2023 г.  </w:t>
            </w:r>
          </w:p>
        </w:tc>
      </w:tr>
      <w:tr w:rsidR="001D5025" w:rsidTr="002F15E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Default="001D5025" w:rsidP="001D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8017D2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850440" w:rsidP="0084061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40">
              <w:rPr>
                <w:rFonts w:ascii="Times New Roman" w:hAnsi="Times New Roman" w:cs="Times New Roman"/>
                <w:sz w:val="24"/>
                <w:szCs w:val="24"/>
              </w:rPr>
              <w:t>134 640 (Сто тридцать четыре тысячи шестьсот сорок) рублей 00 копеек, НДС не облагается на основании пункта 2 статьи 346.11 Налогового кодекса РФ</w:t>
            </w:r>
          </w:p>
        </w:tc>
      </w:tr>
      <w:tr w:rsidR="001D5025" w:rsidTr="00641B9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2A19C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0E7E6D" w:rsidP="001D502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hAnsi="Times New Roman" w:cs="Times New Roman"/>
                <w:sz w:val="24"/>
                <w:szCs w:val="24"/>
              </w:rPr>
              <w:t>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tr w:rsidR="001D5025" w:rsidTr="001C0A7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471C64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DF5F4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91061A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92060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B47FEF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8267FF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273245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664103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033B4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1D5025" w:rsidTr="00654767">
        <w:tc>
          <w:tcPr>
            <w:tcW w:w="10421" w:type="dxa"/>
          </w:tcPr>
          <w:p w:rsidR="001D5025" w:rsidRPr="00782C44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2A38CD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7D7A0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D74756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C17E04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618" w:rsidRDefault="0084061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A756E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5970B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0618" w:rsidRDefault="0084061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7BC" w:rsidRDefault="005667BC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7BC" w:rsidRDefault="005667BC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7BC" w:rsidRDefault="005667BC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7BC" w:rsidRDefault="005667BC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9708FC" w:rsidRDefault="00112D71" w:rsidP="00112D71">
      <w:pPr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0E7E6D" w:rsidRPr="000E7E6D" w:rsidRDefault="000E7E6D" w:rsidP="000E7E6D">
      <w:pPr>
        <w:tabs>
          <w:tab w:val="left" w:pos="1155"/>
        </w:tabs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ДОГОВОР № ________</w:t>
      </w:r>
    </w:p>
    <w:p w:rsidR="000E7E6D" w:rsidRPr="000E7E6D" w:rsidRDefault="000E7E6D" w:rsidP="000E7E6D">
      <w:pPr>
        <w:shd w:val="clear" w:color="auto" w:fill="FFFFFF"/>
        <w:tabs>
          <w:tab w:val="left" w:pos="6821"/>
          <w:tab w:val="left" w:pos="9177"/>
        </w:tabs>
        <w:spacing w:after="0" w:line="360" w:lineRule="auto"/>
        <w:ind w:left="567" w:firstLine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E6D" w:rsidRPr="000E7E6D" w:rsidRDefault="000E7E6D" w:rsidP="000E7E6D">
      <w:pPr>
        <w:shd w:val="clear" w:color="auto" w:fill="FFFFFF"/>
        <w:tabs>
          <w:tab w:val="left" w:pos="9923"/>
        </w:tabs>
        <w:spacing w:after="0" w:line="360" w:lineRule="auto"/>
        <w:ind w:left="11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г. Астрахань                                                                                     «____»_____________20__ г.</w:t>
      </w:r>
    </w:p>
    <w:p w:rsidR="000E7E6D" w:rsidRPr="000E7E6D" w:rsidRDefault="000E7E6D" w:rsidP="000E7E6D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ФГБУ «АМП Каспийского моря» Ковалева Николая Александровича, действующего на основании Устава и приказа № 378ЛС от 10.11.2021 г., с одной стороны, и </w:t>
      </w:r>
    </w:p>
    <w:p w:rsidR="000E7E6D" w:rsidRPr="000E7E6D" w:rsidRDefault="000E7E6D" w:rsidP="000E7E6D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«Махачкалинская Автоколонна 1736» (АО «Махачкалинская Автоколонна 1736»), именуемое в дальнейшем Исполнитель, в лице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генерального директора Магомедова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Висирпаши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Узайриевича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далее именуемые Стороны, на основании Обоснования цены договора № 1587 от 12.12.2022 г. заключили настоящий договор о нижеследующем:</w:t>
      </w:r>
    </w:p>
    <w:p w:rsidR="000E7E6D" w:rsidRPr="000E7E6D" w:rsidRDefault="000E7E6D" w:rsidP="000E7E6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hd w:val="clear" w:color="auto" w:fill="FFFFFF"/>
        <w:spacing w:after="0" w:line="240" w:lineRule="auto"/>
        <w:ind w:right="19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0E7E6D" w:rsidRPr="000E7E6D" w:rsidRDefault="000E7E6D" w:rsidP="000E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проводить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автотранспортных средств Заказчика, указанных в Приложении № 1 к настоящему договору, являющимся его неотъемлемой частью (далее – работы), а Заказчик обязуется принимать и оплачивать выполненные работы в соответствии с настоящим договором.</w:t>
      </w:r>
    </w:p>
    <w:p w:rsidR="000E7E6D" w:rsidRPr="000E7E6D" w:rsidRDefault="000E7E6D" w:rsidP="000E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Работы по настоящему договору осуществляются для Махачкалинского филиала ФГБУ «АМП Каспийского моря»: Российская Федерация, Республика Дагестан, г. Махачкала, КПП 057143001, ОКПО 86081060.</w:t>
      </w:r>
    </w:p>
    <w:p w:rsidR="000E7E6D" w:rsidRPr="000E7E6D" w:rsidRDefault="000E7E6D" w:rsidP="000E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Количество планируемых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технического состояния автотранспортных средств Заказчика – 1224  (Одна тысяча двести двадцать четыре).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Работы по настоящему договору осуществляются по адресу: Россия, 367030, Республика Дагестан, г. Махачкала, микрорайон Степной.</w:t>
      </w:r>
    </w:p>
    <w:p w:rsidR="000E7E6D" w:rsidRPr="000E7E6D" w:rsidRDefault="000E7E6D" w:rsidP="000E7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E6D" w:rsidRPr="000E7E6D" w:rsidRDefault="000E7E6D" w:rsidP="000E7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СРОК ВЫПОЛНЕНИЯ РАБОТ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выполнения работ -  с 01.01.2023 г. по 31.12.2023 г.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hd w:val="clear" w:color="auto" w:fill="FFFFFF"/>
        <w:spacing w:after="0" w:line="240" w:lineRule="auto"/>
        <w:ind w:right="19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СТОРОН</w:t>
      </w:r>
    </w:p>
    <w:p w:rsidR="000E7E6D" w:rsidRPr="000E7E6D" w:rsidRDefault="000E7E6D" w:rsidP="000E7E6D">
      <w:pPr>
        <w:shd w:val="clear" w:color="auto" w:fill="FFFFFF"/>
        <w:tabs>
          <w:tab w:val="left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обязуется: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Выполнять работы с надлежащим качеством,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</w:t>
      </w: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согласованные Сторонами сроки, и сдавать их результаты Заказчику. </w:t>
      </w:r>
    </w:p>
    <w:p w:rsidR="000E7E6D" w:rsidRPr="000E7E6D" w:rsidRDefault="000E7E6D" w:rsidP="000E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автотранспортных сре</w:t>
      </w:r>
      <w:proofErr w:type="gram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Постановлением Правительства РФ от 23.10.1993 N 1090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 ГОСТ 33997-2016 Колесные транспортные средства. Требования к безопасности в эксплуатации и методы проверки, Федеральным законом от 10.12.1995 г. № 196-ФЗ «О безопасности дорожного движения», Приказом </w:t>
      </w: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Минтранса России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15.01.2021 N 9 «Об утверждении Порядка организации и проведения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предсменного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средств» и иными нормативными правовыми актами.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Выполнять работы персоналом, имеющим профессиональную подготовку, на территории Исполнителя.</w:t>
      </w:r>
    </w:p>
    <w:p w:rsidR="000E7E6D" w:rsidRPr="000E7E6D" w:rsidRDefault="000E7E6D" w:rsidP="000E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</w:t>
      </w:r>
      <w:proofErr w:type="gramStart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при </w:t>
      </w:r>
      <w:proofErr w:type="spellStart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предрейсовом</w:t>
      </w:r>
      <w:proofErr w:type="spellEnd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не выявлены несоответствия требованиям, перечисленным в пунктах 7 и 8 Порядка организации и проведения </w:t>
      </w:r>
      <w:proofErr w:type="spellStart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предсменного</w:t>
      </w:r>
      <w:proofErr w:type="spellEnd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технического состояния транспортных средств </w:t>
      </w: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(утвержден приказом Минтранса России от 15.01.2021 № 9),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16 Раздела 2 приказа Минтранса России от 11.09.2020 N 368 "Об утверждении обязательных реквизитов и порядка заполнения путевых листов", в путевом</w:t>
      </w:r>
      <w:proofErr w:type="gram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листе проставлять даты и время проведения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транспортного средства, выпуска транспортного средства  на линию, отметку «выпуск на линию разрешен» и заверять подписью с указанием фамилии и инициалов должностного лица, ответственного за техническое состояние и эксплуатацию транспортных средств</w:t>
      </w: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В ходе проведения работ предупреждать Заказчика о выявленных (скрытых) дефектах автотранспортных средств и рекомендовать Заказчику обратить внимание на необходимость их устранения.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Исполнитель имеет право: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0E7E6D" w:rsidRPr="000E7E6D" w:rsidRDefault="000E7E6D" w:rsidP="000E7E6D">
      <w:pPr>
        <w:shd w:val="clear" w:color="auto" w:fill="FFFFFF"/>
        <w:tabs>
          <w:tab w:val="left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Заказчик обязуется: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Оплачивать работы в размере и в сроки, предусмотренные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4 </w:t>
      </w: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Заказчик имеет право: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Получать от Исполнителя информацию о ходе выполнения работ.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ЦЕНА ДОГОВОРА И ПОРЯДОК РАСЧЁТОВ</w:t>
      </w: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Стоимость проведения </w:t>
      </w:r>
      <w:proofErr w:type="spellStart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технического состояния одного автотранспортного средства Заказчика составляет 110 (Сто десять) рублей 00 копеек, НДС не облагается на основании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346.11 Налогового кодекса РФ (Уведомление о приеме смены объекта упрощенной системы налогообложения  № 110 от 11.01.2016 г.).</w:t>
      </w: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проведения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технического состояния одного автотранспортного средства  является твёрдой и не может изменяться в ходе исполнения договора.</w:t>
      </w: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Цена договора согласно пункту 1.3, пункту 4.1 настоящего договора составляет 134 640 (Сто тридцать четыре тысячи шестьсот сорок) рублей 00 копеек, НДС не облагается на основании пункта 2 статьи 346.11 Налогового кодекса РФ (Уведомление о приеме смены объекта упрощенной системы налогообложения  № 110 от 11.01.2016 г.). Цена договора  является ориентировочной и может изменяться  в пределах этой суммы при  изменении фактического количества </w:t>
      </w:r>
      <w:proofErr w:type="spellStart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технического состояния автотранспортных средств Заказчика. Цену договора составляет суммарная стоимость работ, выполненных Исполнителем за весь период действия договора. Изменение цены Договора сверх установленной суммы и иных существенных условий Договора допускается только по соглашению Сторон.</w:t>
      </w: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Оплата осуществляется Заказчиком ежемесячно за выполненные Исполнителем и принятые Заказчиком работы на основании выставленного Исполнителем счёта. Счёт подлежит оплате Заказчиком в течение 7 (Семи) рабочих дней после подписания Сторонами акта выполненных работ.</w:t>
      </w: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оплаты считается день списания денежных сре</w:t>
      </w:r>
      <w:proofErr w:type="gramStart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л</w:t>
      </w:r>
      <w:proofErr w:type="gramEnd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ицевого счета Заказчика.</w:t>
      </w:r>
    </w:p>
    <w:p w:rsidR="000E7E6D" w:rsidRPr="000E7E6D" w:rsidRDefault="000E7E6D" w:rsidP="000E7E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Оплата работ осуществляется Заказчиком в безналичной форме, путем перечисления денежных средств на расчетный счет Исполнителя, указанный в разделе 11 настоящего договора. </w:t>
      </w:r>
    </w:p>
    <w:p w:rsidR="000E7E6D" w:rsidRPr="000E7E6D" w:rsidRDefault="000E7E6D" w:rsidP="000E7E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75" w:rsidRDefault="00AF6B75" w:rsidP="000E7E6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E6D" w:rsidRDefault="000E7E6D" w:rsidP="000E7E6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СДАЧА-ПРИЕМКА РАБОТ</w:t>
      </w:r>
    </w:p>
    <w:p w:rsidR="00AF6B75" w:rsidRPr="000E7E6D" w:rsidRDefault="00AF6B75" w:rsidP="000E7E6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Сдача-приемка выполненных работ осуществляется ежемесячно </w:t>
      </w: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оформляется актом выполненных работ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 не позднее 3 (Третьего) числа месяца, следующего за месяцем выполнения работ, Исполнитель предоставляет Заказчику счет и акт выполненных работ.</w:t>
      </w: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Заказчик в течение 10 (Десяти) рабочих дней со дня получения акта выполненных работ обязан направить Исполнителю подписанный акт выполненных работ или мотивированный отказ от приемки работ.</w:t>
      </w:r>
    </w:p>
    <w:p w:rsidR="000E7E6D" w:rsidRPr="000E7E6D" w:rsidRDefault="000E7E6D" w:rsidP="000E7E6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Работы считаются выполненными и сданными Исполнителем и принятыми Заказчиком после подписания Сторонами акта выполненных работ, который служит основанием для оплаты счета Заказчиком.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E6D" w:rsidRDefault="000E7E6D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0E7E6D">
        <w:rPr>
          <w:rFonts w:ascii="Times New Roman" w:eastAsia="Calibri" w:hAnsi="Times New Roman" w:cs="Times New Roman"/>
          <w:iCs/>
          <w:sz w:val="24"/>
          <w:szCs w:val="24"/>
        </w:rPr>
        <w:t>6. ОТВЕТСТВЕННОСТЬ СТОРОН</w:t>
      </w:r>
    </w:p>
    <w:p w:rsidR="00AF6B75" w:rsidRPr="000E7E6D" w:rsidRDefault="00AF6B75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6.1. За невыполнение или ненадлежащее выполнение обязательств по настоящему договору Стороны</w:t>
      </w:r>
      <w:r w:rsidRPr="000E7E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7E6D">
        <w:rPr>
          <w:rFonts w:ascii="Times New Roman" w:eastAsia="Calibri" w:hAnsi="Times New Roman" w:cs="Times New Roman"/>
          <w:sz w:val="24"/>
          <w:szCs w:val="24"/>
        </w:rPr>
        <w:t>несут ответственность</w:t>
      </w:r>
      <w:r w:rsidRPr="000E7E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7E6D">
        <w:rPr>
          <w:rFonts w:ascii="Times New Roman" w:eastAsia="Calibri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 xml:space="preserve"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0E7E6D" w:rsidRPr="000E7E6D" w:rsidRDefault="000E7E6D" w:rsidP="000E7E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 xml:space="preserve">         6.6.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удержать суммы пеней, исчисленных в соответствии с настоящим договором, при оплате работ.</w:t>
      </w:r>
    </w:p>
    <w:p w:rsidR="000E7E6D" w:rsidRPr="000E7E6D" w:rsidRDefault="000E7E6D" w:rsidP="000E7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E6D" w:rsidRDefault="000E7E6D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Pr="000E7E6D">
        <w:rPr>
          <w:rFonts w:ascii="Times New Roman" w:eastAsia="Calibri" w:hAnsi="Times New Roman" w:cs="Times New Roman"/>
          <w:sz w:val="24"/>
          <w:szCs w:val="24"/>
        </w:rPr>
        <w:t>ПОРЯДОК РАЗРЕШЕНИЯ СПОРОВ</w:t>
      </w:r>
    </w:p>
    <w:p w:rsidR="00AF6B75" w:rsidRPr="000E7E6D" w:rsidRDefault="00AF6B75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E6D" w:rsidRPr="000E7E6D" w:rsidRDefault="000E7E6D" w:rsidP="000E7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11 </w:t>
      </w: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0E7E6D" w:rsidRPr="000E7E6D" w:rsidRDefault="000E7E6D" w:rsidP="000E7E6D">
      <w:pPr>
        <w:shd w:val="clear" w:color="auto" w:fill="FFFFFF"/>
        <w:spacing w:after="0" w:line="240" w:lineRule="auto"/>
        <w:ind w:right="8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0E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в установленном законодательством Российской Федерации порядке.</w:t>
      </w:r>
      <w:proofErr w:type="gramEnd"/>
    </w:p>
    <w:p w:rsidR="000E7E6D" w:rsidRDefault="000E7E6D" w:rsidP="000E7E6D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75" w:rsidRDefault="00AF6B75" w:rsidP="000E7E6D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75" w:rsidRDefault="00AF6B75" w:rsidP="000E7E6D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75" w:rsidRPr="000E7E6D" w:rsidRDefault="00AF6B75" w:rsidP="000E7E6D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7E6D" w:rsidRDefault="000E7E6D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0E7E6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8. СРОК ДЕЙСТВИЯ ДОГОВОРА. РАСТОРЖЕНИЕ ДОГОВОРА.</w:t>
      </w:r>
    </w:p>
    <w:p w:rsidR="00AF6B75" w:rsidRPr="000E7E6D" w:rsidRDefault="00AF6B75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01.01.2023  г. и действует по 31.12.2023 г., а в части взаиморасчетов - до их полного исполнения Сторонами.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0E7E6D" w:rsidRPr="000E7E6D" w:rsidRDefault="000E7E6D" w:rsidP="000E7E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E6D" w:rsidRDefault="000E7E6D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9. АНТИКОРРУПЦИОННАЯ ОГОВОРКА</w:t>
      </w:r>
    </w:p>
    <w:p w:rsidR="00AF6B75" w:rsidRPr="000E7E6D" w:rsidRDefault="00AF6B75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E6D" w:rsidRPr="000E7E6D" w:rsidRDefault="000E7E6D" w:rsidP="000E7E6D">
      <w:pPr>
        <w:spacing w:before="24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proofErr w:type="gramStart"/>
      <w:r w:rsidRPr="000E7E6D">
        <w:rPr>
          <w:rFonts w:ascii="Times New Roman" w:eastAsia="Calibri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0E7E6D">
        <w:rPr>
          <w:rFonts w:ascii="Times New Roman" w:eastAsia="Calibri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E7E6D" w:rsidRPr="000E7E6D" w:rsidRDefault="000E7E6D" w:rsidP="000E7E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E6D" w:rsidRDefault="000E7E6D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10. ЗАКЛЮЧИТЕЛЬНЫЕ ПОЛОЖЕНИЯ</w:t>
      </w:r>
    </w:p>
    <w:p w:rsidR="00AF6B75" w:rsidRPr="000E7E6D" w:rsidRDefault="00AF6B75" w:rsidP="000E7E6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10.1.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10.2. В случае изменения у одной из Сторон местонахождения, названия, банковских реквизитов и других сведений, указанных в разделе 11 настоящего договора, она обязана в течение 5 (Пяти) рабочих дней письменно известить об этом другую Сторону.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10.3.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10.4.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10.6. Неотъемлемой частью настоящего договора является следующее приложение:</w:t>
      </w:r>
    </w:p>
    <w:p w:rsidR="000E7E6D" w:rsidRPr="000E7E6D" w:rsidRDefault="000E7E6D" w:rsidP="000E7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6D">
        <w:rPr>
          <w:rFonts w:ascii="Times New Roman" w:eastAsia="Calibri" w:hAnsi="Times New Roman" w:cs="Times New Roman"/>
          <w:sz w:val="24"/>
          <w:szCs w:val="24"/>
        </w:rPr>
        <w:t>- Приложение № 1  – Перечень автотранспортных средств ФГБУ «АМП Каспийского моря».</w:t>
      </w:r>
    </w:p>
    <w:p w:rsidR="000E7E6D" w:rsidRPr="000E7E6D" w:rsidRDefault="000E7E6D" w:rsidP="000E7E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 АДРЕСА И РЕКВИЗИТЫ СТОРОН</w:t>
      </w:r>
    </w:p>
    <w:p w:rsidR="000E7E6D" w:rsidRPr="000E7E6D" w:rsidRDefault="000E7E6D" w:rsidP="000E7E6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4883"/>
        <w:gridCol w:w="4928"/>
      </w:tblGrid>
      <w:tr w:rsidR="000E7E6D" w:rsidRPr="000E7E6D" w:rsidTr="00D258BF">
        <w:trPr>
          <w:trHeight w:val="4332"/>
          <w:jc w:val="center"/>
        </w:trPr>
        <w:tc>
          <w:tcPr>
            <w:tcW w:w="4883" w:type="dxa"/>
            <w:hideMark/>
          </w:tcPr>
          <w:p w:rsidR="000E7E6D" w:rsidRDefault="000E7E6D" w:rsidP="000E7E6D">
            <w:pPr>
              <w:widowControl w:val="0"/>
              <w:shd w:val="clear" w:color="auto" w:fill="FFFFFF"/>
              <w:tabs>
                <w:tab w:val="left" w:pos="5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AF6B75" w:rsidRPr="000E7E6D" w:rsidRDefault="00AF6B75" w:rsidP="000E7E6D">
            <w:pPr>
              <w:widowControl w:val="0"/>
              <w:shd w:val="clear" w:color="auto" w:fill="FFFFFF"/>
              <w:tabs>
                <w:tab w:val="left" w:pos="5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«Махачкалинская Автоколонна 1736»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367030, РЕСПУБЛИКА ДАГЕСТАН,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МАХАЧКАЛА,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СТЕПНОЙ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0571002740 КПП 057101001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1130571000548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40602810104110000007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ДАГЕСТАНСКОМ РФ АО "РОССЕЛЬХОЗБАНК" г Махачкала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30101810000000000793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048209793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03090498</w:t>
            </w:r>
          </w:p>
          <w:p w:rsidR="000E7E6D" w:rsidRPr="000E7E6D" w:rsidRDefault="000E7E6D" w:rsidP="000E7E6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8-928-500-53-53</w:t>
            </w: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0E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oaoak1736@mail.ru</w:t>
              </w:r>
            </w:hyperlink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28" w:type="dxa"/>
          </w:tcPr>
          <w:p w:rsidR="000E7E6D" w:rsidRDefault="000E7E6D" w:rsidP="000E7E6D">
            <w:pPr>
              <w:widowControl w:val="0"/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</w:p>
          <w:p w:rsidR="00AF6B75" w:rsidRPr="000E7E6D" w:rsidRDefault="00AF6B75" w:rsidP="000E7E6D">
            <w:pPr>
              <w:widowControl w:val="0"/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3018010485  КПП 301801001 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36712354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1023000826177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20256Ц76300 в  УФК по Астраханской области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03214643000000012500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011203901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40102810445370000017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+7 (8512) 58-45-69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Факс: +7 (8512) 58-45-66, 58-55-02 </w:t>
            </w:r>
          </w:p>
          <w:p w:rsidR="000E7E6D" w:rsidRPr="000E7E6D" w:rsidRDefault="000E7E6D" w:rsidP="000E7E6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0E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E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0E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0E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E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E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E6D" w:rsidRPr="000E7E6D" w:rsidTr="00D258BF">
        <w:trPr>
          <w:trHeight w:val="146"/>
          <w:jc w:val="center"/>
        </w:trPr>
        <w:tc>
          <w:tcPr>
            <w:tcW w:w="4883" w:type="dxa"/>
          </w:tcPr>
          <w:p w:rsidR="000E7E6D" w:rsidRPr="000E7E6D" w:rsidRDefault="000E7E6D" w:rsidP="00AF6B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генерального директора</w:t>
            </w:r>
          </w:p>
          <w:p w:rsidR="000E7E6D" w:rsidRPr="000E7E6D" w:rsidRDefault="000E7E6D" w:rsidP="000E7E6D">
            <w:pPr>
              <w:widowControl w:val="0"/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«Махачкалинская Автоколонна 1736»</w:t>
            </w:r>
          </w:p>
          <w:p w:rsidR="00AF6B75" w:rsidRDefault="00AF6B75" w:rsidP="00AF6B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B75" w:rsidRDefault="000E7E6D" w:rsidP="00AF6B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В.У. Магомедов</w:t>
            </w:r>
          </w:p>
          <w:p w:rsidR="000E7E6D" w:rsidRPr="000E7E6D" w:rsidRDefault="000E7E6D" w:rsidP="00AF6B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4928" w:type="dxa"/>
          </w:tcPr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руководителя </w:t>
            </w: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</w:t>
            </w: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Ковалев</w:t>
            </w: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0E7E6D" w:rsidRPr="000E7E6D" w:rsidRDefault="000E7E6D" w:rsidP="000E7E6D">
            <w:pPr>
              <w:widowControl w:val="0"/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E7E6D" w:rsidRPr="000E7E6D" w:rsidRDefault="000E7E6D" w:rsidP="000E7E6D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7E6D" w:rsidRPr="000E7E6D" w:rsidRDefault="000E7E6D" w:rsidP="000E7E6D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E7E6D" w:rsidRPr="000E7E6D" w:rsidRDefault="000E7E6D" w:rsidP="000E7E6D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 №_________ от «____»__________20__г.</w:t>
      </w:r>
    </w:p>
    <w:p w:rsidR="000E7E6D" w:rsidRPr="000E7E6D" w:rsidRDefault="000E7E6D" w:rsidP="000E7E6D">
      <w:pPr>
        <w:shd w:val="clear" w:color="auto" w:fill="FFFFFF"/>
        <w:tabs>
          <w:tab w:val="left" w:pos="10206"/>
        </w:tabs>
        <w:spacing w:after="0"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E6D" w:rsidRPr="000E7E6D" w:rsidRDefault="000E7E6D" w:rsidP="000E7E6D">
      <w:pPr>
        <w:tabs>
          <w:tab w:val="left" w:pos="17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tabs>
          <w:tab w:val="left" w:pos="17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автотранспортных средств ФГБУ «АМП Каспийского моря»</w:t>
      </w:r>
    </w:p>
    <w:p w:rsidR="000E7E6D" w:rsidRPr="000E7E6D" w:rsidRDefault="000E7E6D" w:rsidP="000E7E6D">
      <w:pPr>
        <w:tabs>
          <w:tab w:val="left" w:pos="17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tabs>
          <w:tab w:val="left" w:pos="17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Spec="center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837"/>
        <w:gridCol w:w="4590"/>
      </w:tblGrid>
      <w:tr w:rsidR="000E7E6D" w:rsidRPr="000E7E6D" w:rsidTr="00D258B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7E6D" w:rsidRPr="000E7E6D" w:rsidRDefault="000E7E6D" w:rsidP="000E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7E6D" w:rsidRPr="000E7E6D" w:rsidRDefault="000E7E6D" w:rsidP="000E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7E6D" w:rsidRPr="000E7E6D" w:rsidRDefault="000E7E6D" w:rsidP="000E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</w:tr>
      <w:tr w:rsidR="000E7E6D" w:rsidRPr="000E7E6D" w:rsidTr="00D258B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D" w:rsidRPr="000E7E6D" w:rsidRDefault="000E7E6D" w:rsidP="000E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D" w:rsidRPr="000E7E6D" w:rsidRDefault="000E7E6D" w:rsidP="000E7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Land Cruiser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D" w:rsidRPr="000E7E6D" w:rsidRDefault="000E7E6D" w:rsidP="000E7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 252 BX 05</w:t>
            </w: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</w:tc>
      </w:tr>
      <w:tr w:rsidR="000E7E6D" w:rsidRPr="000E7E6D" w:rsidTr="00D258B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D" w:rsidRPr="000E7E6D" w:rsidRDefault="000E7E6D" w:rsidP="000E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D" w:rsidRPr="000E7E6D" w:rsidRDefault="000E7E6D" w:rsidP="000E7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Land Cruiser 150 Prado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D" w:rsidRPr="000E7E6D" w:rsidRDefault="000E7E6D" w:rsidP="000E7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233</w:t>
            </w: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05</w:t>
            </w: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</w:tc>
      </w:tr>
      <w:tr w:rsidR="000E7E6D" w:rsidRPr="000E7E6D" w:rsidTr="00D258B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D" w:rsidRPr="000E7E6D" w:rsidRDefault="000E7E6D" w:rsidP="000E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D" w:rsidRPr="000E7E6D" w:rsidRDefault="000E7E6D" w:rsidP="000E7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D" w:rsidRPr="000E7E6D" w:rsidRDefault="000E7E6D" w:rsidP="000E7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846 TA 05</w:t>
            </w: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</w:tc>
      </w:tr>
    </w:tbl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4928"/>
        <w:gridCol w:w="4749"/>
      </w:tblGrid>
      <w:tr w:rsidR="000E7E6D" w:rsidRPr="000E7E6D" w:rsidTr="00D258BF">
        <w:trPr>
          <w:trHeight w:val="146"/>
        </w:trPr>
        <w:tc>
          <w:tcPr>
            <w:tcW w:w="4928" w:type="dxa"/>
          </w:tcPr>
          <w:p w:rsidR="000E7E6D" w:rsidRPr="000E7E6D" w:rsidRDefault="000E7E6D" w:rsidP="000E7E6D">
            <w:pPr>
              <w:widowControl w:val="0"/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генерального директора</w:t>
            </w:r>
          </w:p>
          <w:p w:rsidR="000E7E6D" w:rsidRPr="000E7E6D" w:rsidRDefault="000E7E6D" w:rsidP="000E7E6D">
            <w:pPr>
              <w:widowControl w:val="0"/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«Махачкалинская Автоколонна 1736»</w:t>
            </w:r>
          </w:p>
          <w:p w:rsidR="000E7E6D" w:rsidRPr="000E7E6D" w:rsidRDefault="000E7E6D" w:rsidP="000E7E6D">
            <w:pPr>
              <w:widowControl w:val="0"/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E6D" w:rsidRPr="000E7E6D" w:rsidRDefault="000E7E6D" w:rsidP="000E7E6D">
            <w:pPr>
              <w:widowControl w:val="0"/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E6D" w:rsidRPr="000E7E6D" w:rsidRDefault="000E7E6D" w:rsidP="000E7E6D">
            <w:pPr>
              <w:widowControl w:val="0"/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В.У. Магомедов</w:t>
            </w: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4749" w:type="dxa"/>
          </w:tcPr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руководителя </w:t>
            </w: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</w:t>
            </w:r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Ковалев</w:t>
            </w:r>
          </w:p>
          <w:p w:rsidR="000E7E6D" w:rsidRPr="000E7E6D" w:rsidRDefault="000E7E6D" w:rsidP="000E7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0E7E6D" w:rsidRPr="000E7E6D" w:rsidRDefault="000E7E6D" w:rsidP="000E7E6D">
            <w:pPr>
              <w:widowControl w:val="0"/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E6D" w:rsidRPr="000E7E6D" w:rsidRDefault="000E7E6D" w:rsidP="000E7E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E7E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0E7E6D" w:rsidRPr="000E7E6D" w:rsidRDefault="000E7E6D" w:rsidP="000E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D" w:rsidRPr="000E7E6D" w:rsidRDefault="000E7E6D" w:rsidP="000E7E6D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0E7E6D" w:rsidRPr="000E7E6D" w:rsidRDefault="000E7E6D" w:rsidP="000E7E6D">
      <w:pPr>
        <w:widowControl w:val="0"/>
        <w:spacing w:after="0" w:line="3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6D" w:rsidRPr="000E7E6D" w:rsidRDefault="000E7E6D" w:rsidP="000E7E6D">
      <w:pPr>
        <w:widowControl w:val="0"/>
        <w:spacing w:after="0" w:line="3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6D" w:rsidRDefault="000E7E6D" w:rsidP="00112D71">
      <w:pPr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</w:p>
    <w:sectPr w:rsidR="000E7E6D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18" w:rsidRDefault="009B3018">
      <w:pPr>
        <w:spacing w:after="0" w:line="240" w:lineRule="auto"/>
      </w:pPr>
      <w:r>
        <w:separator/>
      </w:r>
    </w:p>
  </w:endnote>
  <w:endnote w:type="continuationSeparator" w:id="0">
    <w:p w:rsidR="009B3018" w:rsidRDefault="009B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FA8" w:rsidRDefault="00FB1FA8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18" w:rsidRDefault="009B3018">
      <w:pPr>
        <w:spacing w:after="0" w:line="240" w:lineRule="auto"/>
      </w:pPr>
      <w:r>
        <w:separator/>
      </w:r>
    </w:p>
  </w:footnote>
  <w:footnote w:type="continuationSeparator" w:id="0">
    <w:p w:rsidR="009B3018" w:rsidRDefault="009B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>
    <w:pPr>
      <w:pStyle w:val="a9"/>
    </w:pPr>
  </w:p>
  <w:p w:rsidR="00FB1FA8" w:rsidRDefault="00FB1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E24698"/>
    <w:multiLevelType w:val="hybridMultilevel"/>
    <w:tmpl w:val="C7826410"/>
    <w:lvl w:ilvl="0" w:tplc="76CC0B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57D76"/>
    <w:multiLevelType w:val="hybridMultilevel"/>
    <w:tmpl w:val="EC1EF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0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3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4E025A46"/>
    <w:multiLevelType w:val="multilevel"/>
    <w:tmpl w:val="332EB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8D76C58"/>
    <w:multiLevelType w:val="hybridMultilevel"/>
    <w:tmpl w:val="99F02E6C"/>
    <w:lvl w:ilvl="0" w:tplc="7D3CEB3A">
      <w:start w:val="4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3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4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13"/>
  </w:num>
  <w:num w:numId="5">
    <w:abstractNumId w:val="25"/>
  </w:num>
  <w:num w:numId="6">
    <w:abstractNumId w:val="12"/>
  </w:num>
  <w:num w:numId="7">
    <w:abstractNumId w:val="32"/>
  </w:num>
  <w:num w:numId="8">
    <w:abstractNumId w:val="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6"/>
  </w:num>
  <w:num w:numId="14">
    <w:abstractNumId w:val="19"/>
  </w:num>
  <w:num w:numId="15">
    <w:abstractNumId w:val="34"/>
  </w:num>
  <w:num w:numId="16">
    <w:abstractNumId w:val="3"/>
  </w:num>
  <w:num w:numId="17">
    <w:abstractNumId w:val="31"/>
  </w:num>
  <w:num w:numId="18">
    <w:abstractNumId w:val="30"/>
  </w:num>
  <w:num w:numId="19">
    <w:abstractNumId w:val="27"/>
  </w:num>
  <w:num w:numId="20">
    <w:abstractNumId w:val="1"/>
  </w:num>
  <w:num w:numId="21">
    <w:abstractNumId w:val="33"/>
  </w:num>
  <w:num w:numId="22">
    <w:abstractNumId w:val="21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  <w:num w:numId="27">
    <w:abstractNumId w:val="9"/>
  </w:num>
  <w:num w:numId="28">
    <w:abstractNumId w:val="10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37C33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661D9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D293B"/>
    <w:rsid w:val="000E1525"/>
    <w:rsid w:val="000E60B5"/>
    <w:rsid w:val="000E7E6D"/>
    <w:rsid w:val="000F31CB"/>
    <w:rsid w:val="00101A47"/>
    <w:rsid w:val="001066BA"/>
    <w:rsid w:val="00112D7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0E31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025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C77B8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1B6"/>
    <w:rsid w:val="003907A3"/>
    <w:rsid w:val="00395054"/>
    <w:rsid w:val="00397BD7"/>
    <w:rsid w:val="003A0052"/>
    <w:rsid w:val="003B544D"/>
    <w:rsid w:val="003B7785"/>
    <w:rsid w:val="003B7C02"/>
    <w:rsid w:val="003C0DCC"/>
    <w:rsid w:val="003D3FF9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3814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47E44"/>
    <w:rsid w:val="005516F2"/>
    <w:rsid w:val="00551CAD"/>
    <w:rsid w:val="0055207F"/>
    <w:rsid w:val="005632E9"/>
    <w:rsid w:val="005667BC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6FB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0618"/>
    <w:rsid w:val="0084673D"/>
    <w:rsid w:val="00850440"/>
    <w:rsid w:val="0085658B"/>
    <w:rsid w:val="00857FA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4E2B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61A2"/>
    <w:rsid w:val="009B3018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AF6B75"/>
    <w:rsid w:val="00B05A2D"/>
    <w:rsid w:val="00B100FD"/>
    <w:rsid w:val="00B2348E"/>
    <w:rsid w:val="00B309A4"/>
    <w:rsid w:val="00B32C1F"/>
    <w:rsid w:val="00B33112"/>
    <w:rsid w:val="00B33365"/>
    <w:rsid w:val="00B429CB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32EE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941"/>
    <w:rsid w:val="00D41B5E"/>
    <w:rsid w:val="00D501C0"/>
    <w:rsid w:val="00D50876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16F39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96E4D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76B29"/>
    <w:rsid w:val="00F8092E"/>
    <w:rsid w:val="00F82A2D"/>
    <w:rsid w:val="00F83829"/>
    <w:rsid w:val="00F863EF"/>
    <w:rsid w:val="00F87642"/>
    <w:rsid w:val="00F9294B"/>
    <w:rsid w:val="00FA257C"/>
    <w:rsid w:val="00FA297E"/>
    <w:rsid w:val="00FA3C22"/>
    <w:rsid w:val="00FA442C"/>
    <w:rsid w:val="00FA56B9"/>
    <w:rsid w:val="00FB1FA8"/>
    <w:rsid w:val="00FC7BAE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47E44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547E4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47E44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7E44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7E44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47E44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547E4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47E44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7E44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7E44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aoak173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30A926-0702-4711-B484-0A4D0155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4</cp:revision>
  <cp:lastPrinted>2022-10-28T07:39:00Z</cp:lastPrinted>
  <dcterms:created xsi:type="dcterms:W3CDTF">2022-10-28T07:35:00Z</dcterms:created>
  <dcterms:modified xsi:type="dcterms:W3CDTF">2022-12-22T13:51:00Z</dcterms:modified>
</cp:coreProperties>
</file>