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93" w:type="dxa"/>
        <w:tblLook w:val="04A0" w:firstRow="1" w:lastRow="0" w:firstColumn="1" w:lastColumn="0" w:noHBand="0" w:noVBand="1"/>
      </w:tblPr>
      <w:tblGrid>
        <w:gridCol w:w="660"/>
        <w:gridCol w:w="1623"/>
        <w:gridCol w:w="142"/>
        <w:gridCol w:w="195"/>
        <w:gridCol w:w="1223"/>
        <w:gridCol w:w="88"/>
        <w:gridCol w:w="195"/>
        <w:gridCol w:w="1292"/>
        <w:gridCol w:w="65"/>
        <w:gridCol w:w="88"/>
        <w:gridCol w:w="195"/>
        <w:gridCol w:w="981"/>
        <w:gridCol w:w="214"/>
        <w:gridCol w:w="342"/>
        <w:gridCol w:w="83"/>
        <w:gridCol w:w="2041"/>
        <w:gridCol w:w="342"/>
        <w:gridCol w:w="69"/>
        <w:gridCol w:w="14"/>
      </w:tblGrid>
      <w:tr w:rsidR="00664525" w:rsidRPr="00664525" w:rsidTr="00664525">
        <w:trPr>
          <w:gridAfter w:val="2"/>
          <w:wAfter w:w="83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Форма № 1</w:t>
            </w:r>
          </w:p>
        </w:tc>
      </w:tr>
      <w:tr w:rsidR="00664525" w:rsidRPr="00664525" w:rsidTr="00664525">
        <w:trPr>
          <w:gridAfter w:val="2"/>
          <w:wAfter w:w="83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25" w:rsidRPr="00664525" w:rsidTr="00664525">
        <w:trPr>
          <w:gridAfter w:val="2"/>
          <w:wAfter w:w="83" w:type="dxa"/>
          <w:trHeight w:val="330"/>
        </w:trPr>
        <w:tc>
          <w:tcPr>
            <w:tcW w:w="9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раскрытия информации о ценах (тарифах, сборах)</w:t>
            </w:r>
          </w:p>
        </w:tc>
      </w:tr>
      <w:tr w:rsidR="00664525" w:rsidRPr="00664525" w:rsidTr="00664525">
        <w:trPr>
          <w:gridAfter w:val="2"/>
          <w:wAfter w:w="83" w:type="dxa"/>
          <w:trHeight w:val="330"/>
        </w:trPr>
        <w:tc>
          <w:tcPr>
            <w:tcW w:w="9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регулируемые работы (услуги)</w:t>
            </w:r>
          </w:p>
        </w:tc>
      </w:tr>
      <w:tr w:rsidR="00664525" w:rsidRPr="00664525" w:rsidTr="00664525">
        <w:trPr>
          <w:gridAfter w:val="2"/>
          <w:wAfter w:w="83" w:type="dxa"/>
          <w:trHeight w:val="330"/>
        </w:trPr>
        <w:tc>
          <w:tcPr>
            <w:tcW w:w="9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морских портах</w:t>
            </w:r>
          </w:p>
        </w:tc>
      </w:tr>
      <w:tr w:rsidR="00664525" w:rsidRPr="00664525" w:rsidTr="00664525">
        <w:trPr>
          <w:gridAfter w:val="2"/>
          <w:wAfter w:w="83" w:type="dxa"/>
          <w:trHeight w:val="40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(СЕМ:</w:t>
            </w:r>
            <w:proofErr w:type="gramEnd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ФГБУ "АМП Каспийского моря" - корабельный сбор)</w:t>
            </w:r>
            <w:proofErr w:type="gramEnd"/>
          </w:p>
        </w:tc>
      </w:tr>
      <w:tr w:rsidR="00664525" w:rsidRPr="00664525" w:rsidTr="00664525">
        <w:trPr>
          <w:gridAfter w:val="2"/>
          <w:wAfter w:w="83" w:type="dxa"/>
          <w:trHeight w:val="10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25" w:rsidRPr="00664525" w:rsidTr="00664525">
        <w:trPr>
          <w:gridAfter w:val="2"/>
          <w:wAfter w:w="83" w:type="dxa"/>
          <w:trHeight w:val="61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br/>
              <w:t>услуг (работ), оказываемых СЕМ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Цена (тарифы, сборы)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664525" w:rsidRPr="00664525" w:rsidTr="00664525">
        <w:trPr>
          <w:gridAfter w:val="2"/>
          <w:wAfter w:w="83" w:type="dxa"/>
          <w:trHeight w:val="3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мореплавания и порядка в порту: корабельный сбор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руб./1 GT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иже</w:t>
            </w:r>
            <w:proofErr w:type="spellEnd"/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к форме № 1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 xml:space="preserve">Приказ ФСТ РФ от 03.06.2014 № 143-т/3 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тарифам</w:t>
            </w:r>
          </w:p>
        </w:tc>
      </w:tr>
      <w:tr w:rsidR="00664525" w:rsidRPr="00664525" w:rsidTr="00664525">
        <w:trPr>
          <w:gridAfter w:val="2"/>
          <w:wAfter w:w="83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25" w:rsidRPr="00664525" w:rsidTr="00664525">
        <w:trPr>
          <w:gridAfter w:val="1"/>
          <w:wAfter w:w="14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>Приложение к форме № 1</w:t>
            </w:r>
          </w:p>
        </w:tc>
      </w:tr>
      <w:tr w:rsidR="00664525" w:rsidRPr="00664525" w:rsidTr="00664525">
        <w:trPr>
          <w:trHeight w:val="570"/>
        </w:trPr>
        <w:tc>
          <w:tcPr>
            <w:tcW w:w="9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Ставки корабельного сбора по морскому порту Астрахань</w:t>
            </w:r>
          </w:p>
        </w:tc>
      </w:tr>
      <w:tr w:rsidR="00664525" w:rsidRPr="00664525" w:rsidTr="00664525">
        <w:trPr>
          <w:trHeight w:val="563"/>
        </w:trPr>
        <w:tc>
          <w:tcPr>
            <w:tcW w:w="9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22. Порт Астрахань </w:t>
            </w: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 xml:space="preserve">(Приказ  ФАС России от 02.07.2018 г №925/18) </w:t>
            </w:r>
          </w:p>
        </w:tc>
      </w:tr>
      <w:tr w:rsidR="00664525" w:rsidRPr="00664525" w:rsidTr="00664525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Таблица 22.1 - Ставки 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загранплавания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Ставка, руб./1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4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GT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суда, кроме накатных, наплавных, контейнеровозов и наливных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накатные, наплавные суда и контейнеровозы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наливные суда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22.2 – Ставки 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каботажного плавания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 w:colFirst="0" w:colLast="5"/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Ставки корабельного сбора по морскому порту Оля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 Порт Оля</w:t>
            </w: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1 Приказ  ФАС России от 02.07.2018 г №925/18) 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24.1 - Ставки 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загранплавания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Ставка, руб./1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4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GT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суда, кроме накатных, наплавных, контейнеровозов и наливных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накатные, наплавные суда и контейнеровозы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наливные суда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24.2 – Ставки 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каботажного плавания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Ставки корабельного сбора по морскому порту Махачкала</w:t>
            </w:r>
          </w:p>
        </w:tc>
      </w:tr>
      <w:tr w:rsidR="00664525" w:rsidRPr="00664525" w:rsidTr="00664525">
        <w:trPr>
          <w:gridAfter w:val="3"/>
          <w:wAfter w:w="425" w:type="dxa"/>
          <w:trHeight w:val="795"/>
        </w:trPr>
        <w:tc>
          <w:tcPr>
            <w:tcW w:w="94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 Порт Махачкала</w:t>
            </w:r>
            <w:r w:rsidRPr="00664525">
              <w:rPr>
                <w:rFonts w:ascii="Times New Roman" w:eastAsia="Times New Roman" w:hAnsi="Times New Roman" w:cs="Times New Roman"/>
                <w:lang w:eastAsia="ru-RU"/>
              </w:rPr>
              <w:t xml:space="preserve"> (Приказ  ФАС России от 02.07.2018 г №925/18) 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23.1 - Ставки 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загранплавания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Ставка, руб./1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4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GT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суда, кроме накатных, наплавных, контейнеровозов и наливных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накатные, наплавные суда и контейнеровозы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наливные суда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5" w:rsidRPr="00664525" w:rsidRDefault="00664525" w:rsidP="0066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23.2 – Ставки </w:t>
            </w:r>
            <w:r w:rsidRPr="00664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каботажного плавания</w:t>
            </w:r>
          </w:p>
        </w:tc>
      </w:tr>
      <w:tr w:rsidR="00664525" w:rsidRPr="00664525" w:rsidTr="00664525">
        <w:trPr>
          <w:gridAfter w:val="3"/>
          <w:wAfter w:w="425" w:type="dxa"/>
          <w:trHeight w:val="4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25" w:rsidRPr="00664525" w:rsidRDefault="00664525" w:rsidP="0066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</w:tbl>
    <w:p w:rsidR="00F80284" w:rsidRDefault="00F80284"/>
    <w:sectPr w:rsidR="00F8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4"/>
    <w:rsid w:val="00540944"/>
    <w:rsid w:val="00664525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 Боровая</dc:creator>
  <cp:keywords/>
  <dc:description/>
  <cp:lastModifiedBy>Татьяна Павловна Боровая</cp:lastModifiedBy>
  <cp:revision>2</cp:revision>
  <dcterms:created xsi:type="dcterms:W3CDTF">2018-10-22T05:37:00Z</dcterms:created>
  <dcterms:modified xsi:type="dcterms:W3CDTF">2018-10-22T05:41:00Z</dcterms:modified>
</cp:coreProperties>
</file>